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62" w:rsidRDefault="004F7AB8">
      <w:pPr>
        <w:pStyle w:val="SmallTitle"/>
      </w:pPr>
      <w:r>
        <w:t>Informacja o wykona</w:t>
      </w:r>
      <w:r w:rsidR="002F0678">
        <w:t>niu budżetu Gminy Chojnice</w:t>
      </w:r>
      <w:r w:rsidR="002F0678">
        <w:br/>
        <w:t>za I półrocze</w:t>
      </w:r>
      <w:r>
        <w:t xml:space="preserve"> 2024 roku</w:t>
      </w:r>
    </w:p>
    <w:p w:rsidR="00067F62" w:rsidRDefault="004F7AB8">
      <w:pPr>
        <w:jc w:val="both"/>
      </w:pPr>
      <w:r>
        <w:t xml:space="preserve">Zgodnie z art. 37 ust. 1 ustawy z dnia 27 sierpnia 2009 r. – o finansach publicznych (Dz. U. 2023 r. poz. 1270 z </w:t>
      </w:r>
      <w:proofErr w:type="spellStart"/>
      <w:r>
        <w:t>późn</w:t>
      </w:r>
      <w:proofErr w:type="spellEnd"/>
      <w:r>
        <w:t>. zm.) Wójt Gminy Chojnice podaje do publicznej wiadomości kwartalną</w:t>
      </w:r>
      <w:r>
        <w:t xml:space="preserve"> informację o wykonaniu budżetu Gminy Chojnice, w tym kwotę deficytu, oraz o udzielonych umorzeniach niepodatkowych należności budżetowych.</w:t>
      </w:r>
    </w:p>
    <w:p w:rsidR="00067F62" w:rsidRDefault="004F7AB8">
      <w:pPr>
        <w:jc w:val="both"/>
      </w:pPr>
      <w:r>
        <w:t>Budżet Gminy w 2024 roku, który został przyjęty uchwałą Rady Gminy Chojnice nr Uchwała Nr L/837/2023 z dnia 29.12.20</w:t>
      </w:r>
      <w:r>
        <w:t>23 roku, zakładał:</w:t>
      </w:r>
    </w:p>
    <w:p w:rsidR="00067F62" w:rsidRDefault="004F7AB8">
      <w:pPr>
        <w:pStyle w:val="Akapitzlist"/>
        <w:numPr>
          <w:ilvl w:val="0"/>
          <w:numId w:val="23"/>
        </w:numPr>
        <w:jc w:val="both"/>
      </w:pPr>
      <w:r>
        <w:t>uzyskanie dochodów w kwocie 149 342 789,00 zł;</w:t>
      </w:r>
    </w:p>
    <w:p w:rsidR="00067F62" w:rsidRDefault="004F7AB8">
      <w:pPr>
        <w:pStyle w:val="Akapitzlist"/>
        <w:numPr>
          <w:ilvl w:val="0"/>
          <w:numId w:val="23"/>
        </w:numPr>
        <w:jc w:val="both"/>
      </w:pPr>
      <w:r>
        <w:t>realizację wydatków na poziomie 166 782 789,00 zł;</w:t>
      </w:r>
    </w:p>
    <w:p w:rsidR="00067F62" w:rsidRDefault="004F7AB8">
      <w:pPr>
        <w:pStyle w:val="Akapitzlist"/>
        <w:numPr>
          <w:ilvl w:val="0"/>
          <w:numId w:val="23"/>
        </w:numPr>
        <w:jc w:val="both"/>
      </w:pPr>
      <w:r>
        <w:t>pozyskanie przychodów w kwocie 24 000 000,00 zł;</w:t>
      </w:r>
    </w:p>
    <w:p w:rsidR="00067F62" w:rsidRDefault="004F7AB8">
      <w:pPr>
        <w:pStyle w:val="Akapitzlist"/>
        <w:numPr>
          <w:ilvl w:val="0"/>
          <w:numId w:val="23"/>
        </w:numPr>
        <w:jc w:val="both"/>
      </w:pPr>
      <w:r>
        <w:t>realizację rozchodów na poziomie 6 560 000,00 zł.</w:t>
      </w:r>
    </w:p>
    <w:p w:rsidR="00067F62" w:rsidRDefault="004F7AB8">
      <w:pPr>
        <w:jc w:val="both"/>
      </w:pPr>
      <w:r>
        <w:t xml:space="preserve">Różnica między planem dochodów a planem </w:t>
      </w:r>
      <w:r>
        <w:t>wydatków wynosiła 17 440 000,00 zł i stanowiła planowany deficyt budżetu Gminy Chojnice na 2024 rok. Planowana na 2024 rok wartość przychodów stanowiła źródło pokrycia powstałego deficytu, a w pozostałej części została przeznaczona na rozchody.</w:t>
      </w:r>
    </w:p>
    <w:p w:rsidR="00067F62" w:rsidRDefault="004F7AB8">
      <w:pPr>
        <w:jc w:val="both"/>
      </w:pPr>
      <w:r>
        <w:t>W wyniku wp</w:t>
      </w:r>
      <w:r>
        <w:t>rowadzonych zmian w pierwszym półroczu 2024 roku:</w:t>
      </w:r>
    </w:p>
    <w:p w:rsidR="00067F62" w:rsidRDefault="004F7AB8">
      <w:pPr>
        <w:pStyle w:val="Akapitzlist"/>
        <w:numPr>
          <w:ilvl w:val="0"/>
          <w:numId w:val="24"/>
        </w:numPr>
        <w:jc w:val="both"/>
      </w:pPr>
      <w:r>
        <w:t>plan dochodów wzrósł o 11 828 448,85 zł do kwoty 161 171 237,85 zł;</w:t>
      </w:r>
    </w:p>
    <w:p w:rsidR="00067F62" w:rsidRDefault="004F7AB8">
      <w:pPr>
        <w:pStyle w:val="Akapitzlist"/>
        <w:numPr>
          <w:ilvl w:val="0"/>
          <w:numId w:val="24"/>
        </w:numPr>
        <w:jc w:val="both"/>
      </w:pPr>
      <w:r>
        <w:t>plan wydatków wzrósł o 19 028 448,85 zł do kwoty 185 811 237,85 zł;</w:t>
      </w:r>
    </w:p>
    <w:p w:rsidR="00067F62" w:rsidRDefault="004F7AB8">
      <w:pPr>
        <w:pStyle w:val="Akapitzlist"/>
        <w:numPr>
          <w:ilvl w:val="0"/>
          <w:numId w:val="24"/>
        </w:numPr>
        <w:jc w:val="both"/>
      </w:pPr>
      <w:r>
        <w:t>plan przychodów wzrósł o 7 200 000,00 zł do kwoty 31 200 000,00 zł;</w:t>
      </w:r>
    </w:p>
    <w:p w:rsidR="00067F62" w:rsidRDefault="004F7AB8">
      <w:pPr>
        <w:pStyle w:val="Akapitzlist"/>
        <w:numPr>
          <w:ilvl w:val="0"/>
          <w:numId w:val="24"/>
        </w:numPr>
        <w:jc w:val="both"/>
      </w:pPr>
      <w:r>
        <w:t>pl</w:t>
      </w:r>
      <w:r>
        <w:t>an rozchodów nie uległ zmianie.</w:t>
      </w:r>
    </w:p>
    <w:p w:rsidR="00067F62" w:rsidRDefault="004F7AB8">
      <w:pPr>
        <w:jc w:val="both"/>
      </w:pPr>
      <w:r>
        <w:t>Na dzień 30 czerwca 2024 roku budżet Gminy Chojnice zamknął się planowanym deficytem budżetowym w kwocie 24 640 000,00 zł stanowiącym różnicę między planem dochodów a planem wydatków.</w:t>
      </w:r>
    </w:p>
    <w:p w:rsidR="00067F62" w:rsidRDefault="004F7AB8">
      <w:pPr>
        <w:jc w:val="both"/>
      </w:pPr>
      <w:r>
        <w:t>W ujęciu tabelarycznym wykonanie budżetu</w:t>
      </w:r>
      <w:r>
        <w:t xml:space="preserve"> za I półrocze 2024 r. przedstawia poniższa tabela.</w:t>
      </w:r>
    </w:p>
    <w:tbl>
      <w:tblPr>
        <w:tblStyle w:val="TabelaCurulis"/>
        <w:tblW w:w="5000" w:type="pct"/>
        <w:tblLook w:val="04A0"/>
      </w:tblPr>
      <w:tblGrid>
        <w:gridCol w:w="391"/>
        <w:gridCol w:w="5557"/>
        <w:gridCol w:w="1108"/>
        <w:gridCol w:w="1108"/>
        <w:gridCol w:w="1033"/>
        <w:gridCol w:w="837"/>
      </w:tblGrid>
      <w:tr w:rsidR="00067F62" w:rsidTr="00067F62">
        <w:trPr>
          <w:cnfStyle w:val="100000000000"/>
          <w:tblHeader/>
        </w:trPr>
        <w:tc>
          <w:tcPr>
            <w:cnfStyle w:val="001000000000"/>
            <w:tcW w:w="6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Lp.</w:t>
            </w:r>
          </w:p>
        </w:tc>
        <w:tc>
          <w:tcPr>
            <w:tcW w:w="7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1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5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1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1.01.2024 r. (w zł)</w:t>
            </w:r>
          </w:p>
        </w:tc>
        <w:tc>
          <w:tcPr>
            <w:tcW w:w="5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1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30.06.2024 r. (w zł)</w:t>
            </w:r>
          </w:p>
        </w:tc>
        <w:tc>
          <w:tcPr>
            <w:tcW w:w="5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1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 zł)</w:t>
            </w:r>
          </w:p>
        </w:tc>
        <w:tc>
          <w:tcPr>
            <w:tcW w:w="4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1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 %)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jc w:val="left"/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Dochody ogółem, w tym: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149 342 789,00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161 171 237,85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88 606 152,27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54,98%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jc w:val="left"/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bieżące, w tym: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116 721 274,00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129 079 724,85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75 308 709,23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58,34%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067F62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Dotacje i dochody celowe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11 391 647,00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17 998 084,85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13 823 128,67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76,80%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067F62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Subwencja ogólna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46 826 349,00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52 420 417,00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30 255 086,00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57,72%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067F62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Udziały w PIT i CIT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21 841 362,00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21 841 362,00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10 920 678,00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50,00%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067F62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Wpływy z podatków i opłat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34 382 416,00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34 382 416,00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18 575 564,55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54,03%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067F62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Pozostałe dochody bieżące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2 279 500,00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2 437 445,00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1 734 252,01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71,15%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jc w:val="left"/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majątkowe, w tym: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32 621 515,00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32 091 513,00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13 297 443,04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41,44%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067F62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Dochody z majątku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3 025 000,00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3 030 000,00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1 350 210,35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44,56%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067F62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Dotacje i środki na inwestycje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29 596 515,00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28 827 693,00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11 713 411,93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40,63%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067F62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Pozostałe dochody majątkowe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233 820,00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233 820,76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100,00%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II.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jc w:val="left"/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Wydatki ogółem, w tym: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166 782 789,00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185 811 237,85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79 516 372,23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42,79%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jc w:val="left"/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bieżące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115 105 078,00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128 671 982,85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59 334 028,17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46,11%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jc w:val="left"/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majątkowe, w tym: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51 677 711,00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57 139 255,00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20 182 344,06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35,32%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067F62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wydatki na inwestycje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49 083 411,00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53 146 255,00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19 426 744,06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36,55%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III.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jc w:val="left"/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Wynik +/- (I-II)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-17 440 000,00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-24 640 000,00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9 089 780,04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067F62" w:rsidTr="00067F62">
        <w:tc>
          <w:tcPr>
            <w:cnfStyle w:val="001000000000"/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IV.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jc w:val="left"/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Różnica między dochodami bieżącymi a wydatkami bieżącymi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1 616 196,00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407 742,00</w:t>
            </w:r>
          </w:p>
        </w:tc>
        <w:tc>
          <w:tcPr>
            <w:tcW w:w="83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15 974 681,06</w:t>
            </w:r>
          </w:p>
        </w:tc>
        <w:tc>
          <w:tcPr>
            <w:tcW w:w="8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</w:tbl>
    <w:p w:rsidR="00067F62" w:rsidRDefault="00067F62">
      <w:pPr>
        <w:jc w:val="both"/>
      </w:pPr>
    </w:p>
    <w:p w:rsidR="00067F62" w:rsidRDefault="004F7AB8">
      <w:pPr>
        <w:jc w:val="both"/>
      </w:pPr>
      <w:r>
        <w:t xml:space="preserve">Na koniec pierwszego półrocza </w:t>
      </w:r>
      <w:r>
        <w:t>wystąpiła nadwyżka budżetowa w kwocie 9 089 780,04 zł. Różnica między dochodami bieżącymi a wydatkami bieżącymi (wynik budżetu bieżącego) wynosi 15 974 681,06 zł.</w:t>
      </w:r>
    </w:p>
    <w:p w:rsidR="00067F62" w:rsidRDefault="004F7AB8">
      <w:pPr>
        <w:pStyle w:val="SmallSubtitle"/>
      </w:pPr>
      <w:r>
        <w:t>Dochody</w:t>
      </w:r>
    </w:p>
    <w:p w:rsidR="00067F62" w:rsidRDefault="004F7AB8">
      <w:pPr>
        <w:jc w:val="both"/>
      </w:pPr>
      <w:r>
        <w:t>Dochody budżetu Gminy w pierwszym półroczu 2024 roku wyniosły 88 606 152,27 zł, a ich</w:t>
      </w:r>
      <w:r>
        <w:t xml:space="preserve"> realizacja stanowiła 54,98% planu wynoszącego 161 171 237,85 zł. W strukturze dochodów znaczący udział odgrywają dochody bieżące, które w pierwszym półroczu 2024 roku zostały wykonane na poziomie 75 308 709,23 zł, tj. w 58,34% w stosunku do planu wynosząc</w:t>
      </w:r>
      <w:r>
        <w:t>ego 129 079 724,85 zł. Dochody majątkowe Gminy Chojnice w pierwszym półroczu 2024 roku zostały wykonane na poziomie 13 297 443,04 zł, tj. w 41,44% w stosunku do planu wynoszącego 32 091 513,00 zł.</w:t>
      </w:r>
    </w:p>
    <w:p w:rsidR="00067F62" w:rsidRDefault="004F7AB8">
      <w:pPr>
        <w:pStyle w:val="SmallSubtitle"/>
      </w:pPr>
      <w:r>
        <w:lastRenderedPageBreak/>
        <w:t>Dotacje i dochody celowe bieżące</w:t>
      </w:r>
    </w:p>
    <w:p w:rsidR="00067F62" w:rsidRDefault="004F7AB8">
      <w:pPr>
        <w:jc w:val="both"/>
      </w:pPr>
      <w:r>
        <w:t>Biorąc pod uwagę podział d</w:t>
      </w:r>
      <w:r>
        <w:t>ochodów bieżących wg źródeł ich pochodzenia znaczący udział w pierwszym półroczu 2024 roku stanowiły dochody o charakterze celowym, które JST otrzymuje od podmiotów zewnętrznych. W pierwszym półroczu 2024 roku środki te zostały zaplanowane w kwocie 17 998 </w:t>
      </w:r>
      <w:r>
        <w:t>084,85 zł, z kolei zrealizowane na poziomie 13 823 128,67 zł, co stanowi 76,80% realizacji planu, przy czym:</w:t>
      </w:r>
    </w:p>
    <w:p w:rsidR="00067F62" w:rsidRDefault="004F7AB8">
      <w:pPr>
        <w:pStyle w:val="Akapitzlist"/>
        <w:numPr>
          <w:ilvl w:val="0"/>
          <w:numId w:val="25"/>
        </w:numPr>
        <w:jc w:val="both"/>
      </w:pPr>
      <w:r>
        <w:t>dotacje celowe otrzymane z budżetu państwa na realizację zadań z zakresu administracji rządowej wyniosły 10 843 202,68 zł;</w:t>
      </w:r>
    </w:p>
    <w:p w:rsidR="00067F62" w:rsidRDefault="004F7AB8">
      <w:pPr>
        <w:pStyle w:val="Akapitzlist"/>
        <w:numPr>
          <w:ilvl w:val="0"/>
          <w:numId w:val="25"/>
        </w:numPr>
        <w:jc w:val="both"/>
      </w:pPr>
      <w:r>
        <w:t>dotacje na realizację za</w:t>
      </w:r>
      <w:r>
        <w:t>dań realizowanych na mocy porozumień z organami administracji rządowej 2 000,00 zł;</w:t>
      </w:r>
    </w:p>
    <w:p w:rsidR="00067F62" w:rsidRDefault="004F7AB8">
      <w:pPr>
        <w:pStyle w:val="Akapitzlist"/>
        <w:numPr>
          <w:ilvl w:val="0"/>
          <w:numId w:val="25"/>
        </w:numPr>
        <w:jc w:val="both"/>
      </w:pPr>
      <w:r>
        <w:t>dotacje celowe otrzymane z budżetu państwa na zadania własne 1 716 827,00 zł;</w:t>
      </w:r>
    </w:p>
    <w:p w:rsidR="00067F62" w:rsidRDefault="004F7AB8">
      <w:pPr>
        <w:pStyle w:val="Akapitzlist"/>
        <w:numPr>
          <w:ilvl w:val="0"/>
          <w:numId w:val="25"/>
        </w:numPr>
        <w:jc w:val="both"/>
      </w:pPr>
      <w:r>
        <w:t>pozostałe dochody o charakterze celowym 1 261 098,99 zł.</w:t>
      </w:r>
    </w:p>
    <w:p w:rsidR="00067F62" w:rsidRDefault="004F7AB8">
      <w:pPr>
        <w:pStyle w:val="SmallSubtitle"/>
      </w:pPr>
      <w:r>
        <w:t>Subwencja ogólna</w:t>
      </w:r>
    </w:p>
    <w:p w:rsidR="00067F62" w:rsidRDefault="004F7AB8">
      <w:pPr>
        <w:jc w:val="both"/>
      </w:pPr>
      <w:r>
        <w:t xml:space="preserve">Dochody z subwencji </w:t>
      </w:r>
      <w:r>
        <w:t>w pierwszym półroczu 2024 roku zostały zaplanowane na poziomie 52 420 417,00 zł, natomiast zrealizowane w kwocie 30 255 086,00 zł, co stanowi 57,72% realizacji planu, przy czym:</w:t>
      </w:r>
    </w:p>
    <w:p w:rsidR="00067F62" w:rsidRDefault="004F7AB8">
      <w:pPr>
        <w:pStyle w:val="Akapitzlist"/>
        <w:numPr>
          <w:ilvl w:val="0"/>
          <w:numId w:val="26"/>
        </w:numPr>
        <w:jc w:val="both"/>
      </w:pPr>
      <w:r>
        <w:t>dochody z subwencji oświatowej wyniosły 21 572 672,00 zł;</w:t>
      </w:r>
    </w:p>
    <w:p w:rsidR="00067F62" w:rsidRDefault="004F7AB8">
      <w:pPr>
        <w:pStyle w:val="Akapitzlist"/>
        <w:numPr>
          <w:ilvl w:val="0"/>
          <w:numId w:val="26"/>
        </w:numPr>
        <w:jc w:val="both"/>
      </w:pPr>
      <w:r>
        <w:t xml:space="preserve">dochody z subwencji </w:t>
      </w:r>
      <w:r>
        <w:t>wyrównawczej wyniosły 8 113 026,00 zł;</w:t>
      </w:r>
    </w:p>
    <w:p w:rsidR="00067F62" w:rsidRDefault="004F7AB8">
      <w:pPr>
        <w:pStyle w:val="Akapitzlist"/>
        <w:numPr>
          <w:ilvl w:val="0"/>
          <w:numId w:val="26"/>
        </w:numPr>
        <w:jc w:val="both"/>
      </w:pPr>
      <w:r>
        <w:t>dochody z subwencji rozwojowej wyniosły 569 388,00 zł.</w:t>
      </w:r>
    </w:p>
    <w:p w:rsidR="00067F62" w:rsidRDefault="004F7AB8">
      <w:pPr>
        <w:pStyle w:val="SmallSubtitle"/>
      </w:pPr>
      <w:r>
        <w:t>Udział w podatkach stanowiących dochód budżetu państwa</w:t>
      </w:r>
    </w:p>
    <w:p w:rsidR="00067F62" w:rsidRDefault="004F7AB8">
      <w:pPr>
        <w:jc w:val="both"/>
      </w:pPr>
      <w:r>
        <w:t xml:space="preserve">Udziały w podatkach stanowiących dochód budżetu państwa zaplanowane zostały w kwocie 21 841 362,00 zł, zaś </w:t>
      </w:r>
      <w:r>
        <w:t>zrealizowane w pierwszym półroczu 2024 roku w kwocie 10 920 678,00 zł, co stanowi 50,00% realizacji planu, przy czym:</w:t>
      </w:r>
    </w:p>
    <w:p w:rsidR="00067F62" w:rsidRDefault="004F7AB8">
      <w:pPr>
        <w:pStyle w:val="Akapitzlist"/>
        <w:numPr>
          <w:ilvl w:val="0"/>
          <w:numId w:val="27"/>
        </w:numPr>
        <w:jc w:val="both"/>
      </w:pPr>
      <w:r>
        <w:t>dochody z tytułu wpływów z podatku od osób prawnych wyniosły 266 166,00 zł;</w:t>
      </w:r>
    </w:p>
    <w:p w:rsidR="00067F62" w:rsidRDefault="004F7AB8">
      <w:pPr>
        <w:pStyle w:val="Akapitzlist"/>
        <w:numPr>
          <w:ilvl w:val="0"/>
          <w:numId w:val="27"/>
        </w:numPr>
        <w:jc w:val="both"/>
      </w:pPr>
      <w:r>
        <w:t>dochody z tytułu wpływów z podatku od osób fizycznych wyniosły</w:t>
      </w:r>
      <w:r>
        <w:t xml:space="preserve"> 10 654 512,00 zł.</w:t>
      </w:r>
    </w:p>
    <w:p w:rsidR="00067F62" w:rsidRDefault="004F7AB8">
      <w:pPr>
        <w:pStyle w:val="SmallSubtitle"/>
      </w:pPr>
      <w:r>
        <w:t>Wpływy z podatków i opłat lokalnych</w:t>
      </w:r>
    </w:p>
    <w:p w:rsidR="00067F62" w:rsidRDefault="004F7AB8">
      <w:pPr>
        <w:pStyle w:val="Nagwek5"/>
        <w:jc w:val="both"/>
      </w:pPr>
      <w:r>
        <w:t>Podatek od nieruchomości</w:t>
      </w:r>
    </w:p>
    <w:p w:rsidR="00067F62" w:rsidRDefault="004F7AB8">
      <w:pPr>
        <w:jc w:val="both"/>
      </w:pPr>
      <w:r>
        <w:t>Wpływy z podatku od nieruchomości w pierwszym półroczu 2024 roku zostały zrealizowane w kwocie 11 272 901,50 zł, co stanowi 53,98% realizacji planu wynoszącego 20 883 916,00 zł</w:t>
      </w:r>
      <w:r>
        <w:t>, w tym 6 093 369,83 zł od osób prawnych i 5 179 531,67 zł od osób fizycznych. Zaległości podatkowe na dzień 30 czerwca 2024 roku wynoszą 5 532 988,20 zł, w tym 3 207 272,12 zł od osób prawnych i 2 325 716,08 zł od osób fizycznych. Z uwagi, iż Gmina w okre</w:t>
      </w:r>
      <w:r>
        <w:t>sie sprawozdawczym nie stosowała maksymalnych stawek wynikających z obwieszczenia MF, skutki obniżenia górnych stawek podatków kształtują się na poziomie 1 093 952,00 zł.</w:t>
      </w:r>
    </w:p>
    <w:p w:rsidR="00067F62" w:rsidRDefault="004F7AB8">
      <w:pPr>
        <w:pStyle w:val="Nagwek5"/>
        <w:jc w:val="both"/>
      </w:pPr>
      <w:r>
        <w:t>Podatek rolny</w:t>
      </w:r>
    </w:p>
    <w:p w:rsidR="00067F62" w:rsidRDefault="004F7AB8">
      <w:pPr>
        <w:jc w:val="both"/>
      </w:pPr>
      <w:r>
        <w:t>Wpływy z podatku rolnego w pierwszym półroczu 2024 roku zostały zrealiz</w:t>
      </w:r>
      <w:r>
        <w:t>owane w kwocie 1 434 222,64 zł, co stanowi 54,12% realizacji planu wynoszącego 2 650 000,00 zł, w tym 185 432,00 zł od osób prawnych i 1 248 790,64 zł od osób fizycznych. Zaległości podatkowe na dzień 30 czerwca 2024 roku wynoszą 284 564,73 zł, w tym 15 45</w:t>
      </w:r>
      <w:r>
        <w:t xml:space="preserve">5,10 zł od osób prawnych i 269 109,63 zł od osób </w:t>
      </w:r>
      <w:proofErr w:type="spellStart"/>
      <w:r>
        <w:t>fizycznych.Z</w:t>
      </w:r>
      <w:proofErr w:type="spellEnd"/>
      <w:r>
        <w:t xml:space="preserve"> uwagi, iż Gmina podjęła uchwałę w sprawie obniżenia średniej ceny skupu żyta, przyjmowanej jako podstawę obliczenia podatku rolnego, skutki obniżenia górnych stawek podatków kształtują się na po</w:t>
      </w:r>
      <w:r>
        <w:t>ziomie 307 314,00 zł.</w:t>
      </w:r>
    </w:p>
    <w:p w:rsidR="00067F62" w:rsidRDefault="004F7AB8">
      <w:pPr>
        <w:pStyle w:val="Nagwek5"/>
        <w:jc w:val="both"/>
      </w:pPr>
      <w:r>
        <w:t>Podatek leśny</w:t>
      </w:r>
    </w:p>
    <w:p w:rsidR="00067F62" w:rsidRDefault="004F7AB8">
      <w:pPr>
        <w:jc w:val="both"/>
      </w:pPr>
      <w:r>
        <w:t xml:space="preserve">Wpływy z podatku leśnego w pierwszym półroczu 2024 roku zostały zrealizowane w kwocie 406 340,87 zł, co stanowi 52,77% realizacji planu wynoszącego 770 000,00 zł, w tym 334 656,00 zł od osób prawnych i 71 684,87 zł od </w:t>
      </w:r>
      <w:r>
        <w:t>osób fizycznych. Zaległości podatkowe na dzień 30 czerwca 2024 roku wynoszą 6 303,40 zł, w tym 160,00 zł od osób prawnych i 6 143,40 zł od osób fizycznych.</w:t>
      </w:r>
    </w:p>
    <w:p w:rsidR="00067F62" w:rsidRDefault="004F7AB8">
      <w:pPr>
        <w:pStyle w:val="Nagwek5"/>
        <w:jc w:val="both"/>
      </w:pPr>
      <w:r>
        <w:lastRenderedPageBreak/>
        <w:t>Podatek od środków transportowych</w:t>
      </w:r>
    </w:p>
    <w:p w:rsidR="00067F62" w:rsidRDefault="004F7AB8">
      <w:pPr>
        <w:jc w:val="both"/>
      </w:pPr>
      <w:r>
        <w:t>Wpływy z podatku od środków transportowych w pierwszym półroczu 20</w:t>
      </w:r>
      <w:r>
        <w:t>24 roku zostały zrealizowane w kwocie 645 542,26 zł, co stanowi 56,70% realizacji planu wynoszącego 1 138 500,00 zł, w tym 295 491,00 zł od osób prawnych i 350 051,26 zł od osób fizycznych. Zaległości podatkowe na dzień 30 czerwca 2024 roku wynoszą 249 923</w:t>
      </w:r>
      <w:r>
        <w:t>,70 zł, w tym 11 987,00 zł od osób prawnych i 237 936,70 zł od osób fizycznych. Z uwagi, iż Gmina nie stosuje maksymalnych stawek wynikających z obwieszczenia MF, skutki obniżenia górnych stawek podatków za okres sprawozdawczy kształtują się na poziomie 49</w:t>
      </w:r>
      <w:r>
        <w:t>1 282,00 zł.</w:t>
      </w:r>
    </w:p>
    <w:p w:rsidR="00067F62" w:rsidRDefault="004F7AB8">
      <w:pPr>
        <w:pStyle w:val="Nagwek5"/>
        <w:jc w:val="both"/>
      </w:pPr>
      <w:r>
        <w:t>Podatek od działalności gospodarczej osób fizycznych, opłacany w formie karty podatkowej</w:t>
      </w:r>
    </w:p>
    <w:p w:rsidR="00067F62" w:rsidRDefault="004F7AB8">
      <w:pPr>
        <w:jc w:val="both"/>
      </w:pPr>
      <w:r>
        <w:t xml:space="preserve">Wpływy z podatku od działalności gospodarczej osób fizycznych, opłacanego w formie karty podatkowej w pierwszym półroczu 2024 roku zostały zrealizowane w </w:t>
      </w:r>
      <w:r>
        <w:t>kwocie 24 420,85 zł, co stanowi 61,05% realizacji planu wynoszącego 40 000,00 zł. Zaległości podatkowe na dzień 30 czerwca 2024 roku wynoszą 2 526,21 zł.</w:t>
      </w:r>
    </w:p>
    <w:p w:rsidR="00067F62" w:rsidRDefault="004F7AB8">
      <w:pPr>
        <w:pStyle w:val="Nagwek5"/>
        <w:jc w:val="both"/>
      </w:pPr>
      <w:r>
        <w:t>Podatek od spadków i darowizn</w:t>
      </w:r>
    </w:p>
    <w:p w:rsidR="00067F62" w:rsidRDefault="004F7AB8">
      <w:pPr>
        <w:jc w:val="both"/>
      </w:pPr>
      <w:r>
        <w:t>Wpływy z podatku od spadków i darowizn w pierwszym półroczu 2024 roku zo</w:t>
      </w:r>
      <w:r>
        <w:t>stały zrealizowane w kwocie 62 892,00 zł, co stanowi 314,46% realizacji planu wynoszącego 20 000,00 zł. Zaległości podatkowe na dzień 30 czerwca 2024 roku wynoszą 8 848,05 zł.</w:t>
      </w:r>
    </w:p>
    <w:p w:rsidR="00067F62" w:rsidRDefault="004F7AB8">
      <w:pPr>
        <w:pStyle w:val="Nagwek5"/>
        <w:jc w:val="both"/>
      </w:pPr>
      <w:r>
        <w:t>Podatek od czynności cywilnoprawnych</w:t>
      </w:r>
    </w:p>
    <w:p w:rsidR="00067F62" w:rsidRDefault="004F7AB8">
      <w:pPr>
        <w:jc w:val="both"/>
      </w:pPr>
      <w:r>
        <w:t>Wpływy z podatku od czynności cywilnoprawny</w:t>
      </w:r>
      <w:r>
        <w:t xml:space="preserve">ch w pierwszym półroczu 2024 roku zostały zrealizowane w kwocie 786 605,26 zł, co stanowi 52,44% realizacji planu wynoszącego 1 500 000,00 zł, w tym 16 172,00 zł od osób prawnych i 770 433,26 zł od osób fizycznych. Zaległości podatkowe na dzień 30 czerwca </w:t>
      </w:r>
      <w:r>
        <w:t>2024 roku wynoszą 1 706,51 zł, w tym 50,00 zł od osób prawnych i 1 656,51 zł od osób fizycznych.</w:t>
      </w:r>
    </w:p>
    <w:p w:rsidR="00067F62" w:rsidRDefault="004F7AB8">
      <w:pPr>
        <w:pStyle w:val="Nagwek5"/>
        <w:jc w:val="both"/>
      </w:pPr>
      <w:r>
        <w:t>Wpływy z opłaty skarbowej</w:t>
      </w:r>
    </w:p>
    <w:p w:rsidR="00067F62" w:rsidRDefault="004F7AB8">
      <w:pPr>
        <w:jc w:val="both"/>
      </w:pPr>
      <w:r>
        <w:t>Wpływy z opłaty skarbowej w pierwszym półroczu 2024 roku zostały zrealizowane w kwocie 37 204,00 zł, co stanowi 53,15% realizacji pla</w:t>
      </w:r>
      <w:r>
        <w:t>nu wynoszącego 70 000,00 zł.</w:t>
      </w:r>
    </w:p>
    <w:p w:rsidR="00067F62" w:rsidRDefault="004F7AB8">
      <w:pPr>
        <w:pStyle w:val="Nagwek5"/>
        <w:jc w:val="both"/>
      </w:pPr>
      <w:r>
        <w:t>Wpływy z opłaty eksploatacyjnej</w:t>
      </w:r>
    </w:p>
    <w:p w:rsidR="00067F62" w:rsidRDefault="004F7AB8">
      <w:pPr>
        <w:jc w:val="both"/>
      </w:pPr>
      <w:r>
        <w:t>Wpływy z opłaty eksploatacyjnej w pierwszym półroczu 2024 roku zostały zrealizowane w kwocie 12 394,75 zł, co stanowi 20,66% realizacji planu wynoszącego 60 000,00 zł.</w:t>
      </w:r>
    </w:p>
    <w:p w:rsidR="00067F62" w:rsidRDefault="004F7AB8">
      <w:pPr>
        <w:pStyle w:val="Nagwek5"/>
        <w:jc w:val="both"/>
      </w:pPr>
      <w:r>
        <w:t>Wpływy z opłat lokalnych</w:t>
      </w:r>
    </w:p>
    <w:p w:rsidR="00067F62" w:rsidRDefault="004F7AB8">
      <w:pPr>
        <w:jc w:val="both"/>
      </w:pPr>
      <w:r>
        <w:t>Wp</w:t>
      </w:r>
      <w:r>
        <w:t>ływy z opłat w 2024 roku zostały zaplanowane na poziomie 7 250 000,00 zł, natomiast zrealizowane w pierwszym półroczu w kwocie 3 893 040,42 zł, co stanowi 53,70% realizacji planu. Najwyższe wpływy z opłat zrealizowane zostały z:</w:t>
      </w:r>
    </w:p>
    <w:p w:rsidR="00067F62" w:rsidRDefault="004F7AB8">
      <w:pPr>
        <w:pStyle w:val="Akapitzlist"/>
        <w:numPr>
          <w:ilvl w:val="0"/>
          <w:numId w:val="28"/>
        </w:numPr>
        <w:jc w:val="both"/>
      </w:pPr>
      <w:r>
        <w:t>§049 (wpływy z innych lokal</w:t>
      </w:r>
      <w:r>
        <w:t>nych opłat pobieranych przez jednostki samorządu terytorialnego na podstawie odrębnych ustaw) – 2 936 670,49 zł;</w:t>
      </w:r>
    </w:p>
    <w:p w:rsidR="00067F62" w:rsidRDefault="004F7AB8">
      <w:pPr>
        <w:pStyle w:val="Akapitzlist"/>
        <w:numPr>
          <w:ilvl w:val="0"/>
          <w:numId w:val="28"/>
        </w:numPr>
        <w:jc w:val="both"/>
      </w:pPr>
      <w:r>
        <w:t>§069 (wpływy z różnych opłat) – 477 510,62 zł;</w:t>
      </w:r>
    </w:p>
    <w:p w:rsidR="00067F62" w:rsidRDefault="004F7AB8">
      <w:pPr>
        <w:pStyle w:val="Akapitzlist"/>
        <w:numPr>
          <w:ilvl w:val="0"/>
          <w:numId w:val="28"/>
        </w:numPr>
        <w:jc w:val="both"/>
      </w:pPr>
      <w:r>
        <w:t>§048 (wpływy z opłat za zezwolenia na sprzedaż napojów alkoholowych) – 287 253,41 zł;</w:t>
      </w:r>
    </w:p>
    <w:p w:rsidR="00067F62" w:rsidRDefault="004F7AB8">
      <w:pPr>
        <w:pStyle w:val="Akapitzlist"/>
        <w:numPr>
          <w:ilvl w:val="0"/>
          <w:numId w:val="28"/>
        </w:numPr>
        <w:jc w:val="both"/>
      </w:pPr>
      <w:r>
        <w:t>§062 (wpły</w:t>
      </w:r>
      <w:r>
        <w:t>wy z opłat za zezwolenia, akredytacje oraz opłaty ewidencyjne, w tym opłaty za częstotliwości) – 86 901,76 zł;</w:t>
      </w:r>
    </w:p>
    <w:p w:rsidR="00067F62" w:rsidRDefault="004F7AB8">
      <w:pPr>
        <w:pStyle w:val="Akapitzlist"/>
        <w:numPr>
          <w:ilvl w:val="0"/>
          <w:numId w:val="28"/>
        </w:numPr>
        <w:jc w:val="both"/>
      </w:pPr>
      <w:r>
        <w:t>§027 (wpływy z części opłaty za zezwolenie na sprzedaż napojów alkoholowych w obrocie hurtowym) – 66 428,29 zł.</w:t>
      </w:r>
    </w:p>
    <w:p w:rsidR="00067F62" w:rsidRDefault="004F7AB8">
      <w:pPr>
        <w:pStyle w:val="SmallSubtitle"/>
      </w:pPr>
      <w:r>
        <w:t>Pozostałe dochody bieżące</w:t>
      </w:r>
    </w:p>
    <w:p w:rsidR="00067F62" w:rsidRDefault="004F7AB8">
      <w:pPr>
        <w:jc w:val="both"/>
      </w:pPr>
      <w:r>
        <w:t>Pozosta</w:t>
      </w:r>
      <w:r>
        <w:t>łe dochody bieżące to dochody niesklasyfikowane w ramach wcześniejszych grup. W okresie sprawozdawczym przewiduje się wykonanie na poziomie 2 437 445,00 zł. Plan w pierwszym półroczu został wykonany w kwocie 1 734 252,01 zł, co stanowi 71,15% założeń.</w:t>
      </w:r>
    </w:p>
    <w:p w:rsidR="00067F62" w:rsidRDefault="004F7AB8">
      <w:pPr>
        <w:pStyle w:val="SmallSubtitle"/>
      </w:pPr>
      <w:r>
        <w:lastRenderedPageBreak/>
        <w:t>Doch</w:t>
      </w:r>
      <w:r>
        <w:t>ody z majątku</w:t>
      </w:r>
    </w:p>
    <w:p w:rsidR="00067F62" w:rsidRDefault="004F7AB8">
      <w:pPr>
        <w:jc w:val="both"/>
      </w:pPr>
      <w:r>
        <w:t>Dochody z majątku zostały zaplanowane na poziomie 3 030 000,00 zł, natomiast zrealizowane w pierwszym półroczu 2024 roku w kwocie 1 350 210,35 zł, co stanowi 44,56% realizacji planu, przy czym:</w:t>
      </w:r>
    </w:p>
    <w:p w:rsidR="00067F62" w:rsidRDefault="004F7AB8">
      <w:pPr>
        <w:pStyle w:val="Akapitzlist"/>
        <w:numPr>
          <w:ilvl w:val="0"/>
          <w:numId w:val="29"/>
        </w:numPr>
        <w:jc w:val="both"/>
      </w:pPr>
      <w:r>
        <w:t>wpłaty z tytułu odpłatnego nabycia prawa własnoś</w:t>
      </w:r>
      <w:r>
        <w:t>ci oraz prawa użytkowania wieczystego nieruchomości wyniosły 1 346 921,75 zł;</w:t>
      </w:r>
    </w:p>
    <w:p w:rsidR="00067F62" w:rsidRDefault="004F7AB8">
      <w:pPr>
        <w:pStyle w:val="Akapitzlist"/>
        <w:numPr>
          <w:ilvl w:val="0"/>
          <w:numId w:val="29"/>
        </w:numPr>
        <w:jc w:val="both"/>
      </w:pPr>
      <w:r>
        <w:t>wpływy z tytułu przekształcenia prawa użytkowania wieczystego w prawo własności wyniosły 4 320,00 zł.</w:t>
      </w:r>
    </w:p>
    <w:p w:rsidR="00067F62" w:rsidRDefault="004F7AB8">
      <w:pPr>
        <w:pStyle w:val="SmallSubtitle"/>
      </w:pPr>
      <w:r>
        <w:t>Dotacje i środki na inwestycje</w:t>
      </w:r>
    </w:p>
    <w:p w:rsidR="00067F62" w:rsidRDefault="004F7AB8">
      <w:pPr>
        <w:jc w:val="both"/>
      </w:pPr>
      <w:r>
        <w:t xml:space="preserve">Dotacje i środki na inwestycje w 2024 roku </w:t>
      </w:r>
      <w:r>
        <w:t>zostały zaplanowane na poziomie 28 827 693,00 zł, natomiast zrealizowane w pierwszym półroczu w kwocie 11 713 411,93 zł, co stanowi 40,63% realizacji planu.</w:t>
      </w:r>
    </w:p>
    <w:p w:rsidR="00067F62" w:rsidRDefault="004F7AB8">
      <w:pPr>
        <w:jc w:val="both"/>
      </w:pPr>
      <w:r>
        <w:t>Największy poziom dotacji i środków na inwestycje w pierwszym półroczu Gmina uzyskała na realizację</w:t>
      </w:r>
      <w:r>
        <w:t xml:space="preserve"> zadań w obszarze:</w:t>
      </w:r>
    </w:p>
    <w:p w:rsidR="00067F62" w:rsidRDefault="004F7AB8">
      <w:pPr>
        <w:pStyle w:val="Akapitzlist"/>
        <w:numPr>
          <w:ilvl w:val="0"/>
          <w:numId w:val="30"/>
        </w:numPr>
        <w:jc w:val="both"/>
      </w:pPr>
      <w:r>
        <w:t>Infrastruktura wodociągowa wsi w ramach działu Rolnictwo i łowiectwo – 9 490 500,00 zł;</w:t>
      </w:r>
    </w:p>
    <w:p w:rsidR="00067F62" w:rsidRDefault="004F7AB8">
      <w:pPr>
        <w:pStyle w:val="Akapitzlist"/>
        <w:numPr>
          <w:ilvl w:val="0"/>
          <w:numId w:val="30"/>
        </w:numPr>
        <w:jc w:val="both"/>
      </w:pPr>
      <w:r>
        <w:t>Drogi publiczne gminne w ramach działu Transport i łączność – 2 104 090,00 zł;</w:t>
      </w:r>
    </w:p>
    <w:p w:rsidR="00067F62" w:rsidRDefault="004F7AB8">
      <w:pPr>
        <w:pStyle w:val="Akapitzlist"/>
        <w:numPr>
          <w:ilvl w:val="0"/>
          <w:numId w:val="30"/>
        </w:numPr>
        <w:jc w:val="both"/>
      </w:pPr>
      <w:r>
        <w:t>Pozostała działalność w ramach działu Bezpieczeństwo publiczne i ochro</w:t>
      </w:r>
      <w:r>
        <w:t>na przeciwpożarowa – 70 000,00 zł;</w:t>
      </w:r>
    </w:p>
    <w:p w:rsidR="00067F62" w:rsidRDefault="004F7AB8">
      <w:pPr>
        <w:pStyle w:val="Akapitzlist"/>
        <w:numPr>
          <w:ilvl w:val="0"/>
          <w:numId w:val="30"/>
        </w:numPr>
        <w:jc w:val="both"/>
      </w:pPr>
      <w:r>
        <w:t>Ochrona powietrza atmosferycznego i klimatu w ramach działu Gospodarka komunalna i ochrona środowiska – 28 821,93 zł.</w:t>
      </w:r>
    </w:p>
    <w:p w:rsidR="00067F62" w:rsidRDefault="004F7AB8">
      <w:pPr>
        <w:pStyle w:val="SmallSubtitle"/>
      </w:pPr>
      <w:r>
        <w:t>Pozostałe dochody majątkowe</w:t>
      </w:r>
    </w:p>
    <w:p w:rsidR="00067F62" w:rsidRDefault="004F7AB8">
      <w:pPr>
        <w:jc w:val="both"/>
      </w:pPr>
      <w:r>
        <w:t>Pozostałe dochody majątkowe to dochody niesklasyfikowane w ramach wcześniej</w:t>
      </w:r>
      <w:r>
        <w:t>szych grup. W okresie sprawozdawczym przewidywano wykonanie na poziomie 233 820,00 zł. Plan w pierwszym półroczu został wykonany w kwocie 233 820,76 zł, co stanowi 100,00% założeń.</w:t>
      </w:r>
    </w:p>
    <w:p w:rsidR="00067F62" w:rsidRDefault="004F7AB8">
      <w:pPr>
        <w:jc w:val="both"/>
      </w:pPr>
      <w:r>
        <w:t>W ramach pozostałych dochodów majątkowych sklasyfikowane zostały:</w:t>
      </w:r>
    </w:p>
    <w:p w:rsidR="00067F62" w:rsidRDefault="004F7AB8">
      <w:pPr>
        <w:pStyle w:val="Akapitzlist"/>
        <w:numPr>
          <w:ilvl w:val="0"/>
          <w:numId w:val="31"/>
        </w:numPr>
        <w:jc w:val="both"/>
      </w:pPr>
      <w:r>
        <w:t>wpłata śr</w:t>
      </w:r>
      <w:r>
        <w:t>odków finansowych z niewykorzystanych w terminie wydatków, które nie wygasają z upływem roku budżetowego w kwocie 44 489,09 zł;</w:t>
      </w:r>
    </w:p>
    <w:p w:rsidR="00067F62" w:rsidRDefault="004F7AB8">
      <w:pPr>
        <w:pStyle w:val="Akapitzlist"/>
        <w:numPr>
          <w:ilvl w:val="0"/>
          <w:numId w:val="31"/>
        </w:numPr>
        <w:jc w:val="both"/>
      </w:pPr>
      <w:r>
        <w:t>wpłata środków finansowych z niewykorzystanych w terminie wydatków, które nie wygasają z upływem roku budżetowego w kwocie 189 3</w:t>
      </w:r>
      <w:r>
        <w:t>31,67 zł.</w:t>
      </w:r>
    </w:p>
    <w:p w:rsidR="00067F62" w:rsidRDefault="004F7AB8">
      <w:pPr>
        <w:pStyle w:val="SmallSubtitle"/>
      </w:pPr>
      <w:r>
        <w:t>Wydatki</w:t>
      </w:r>
    </w:p>
    <w:p w:rsidR="00067F62" w:rsidRDefault="004F7AB8">
      <w:pPr>
        <w:jc w:val="both"/>
      </w:pPr>
      <w:r>
        <w:t>Wydatki budżetu Gminy w pierwszym półroczu 2024 roku wyniosły 79 516 372,23 zł, a ich realizacja wyniosła 42,79% planu wynoszącego 185 811 237,85 zł. W pierwszym półroczu 2024 roku wydatki bieżące zostały wykonane na poziomie 59 334 028,1</w:t>
      </w:r>
      <w:r>
        <w:t>7 zł, tj. w 46,11% w stosunku do planu po zmianach wynoszącego 128 671 982,85 zł, z kolei majątkowe zostały wykonane na poziomie 20 182 344,06 zł, tj. w 35,32% w stosunku do planu po zmianach wynoszącego 57 139 255,00 zł.</w:t>
      </w:r>
    </w:p>
    <w:p w:rsidR="00067F62" w:rsidRDefault="004F7AB8">
      <w:pPr>
        <w:jc w:val="both"/>
      </w:pPr>
      <w:r>
        <w:t>Realizację planu wydatków w pierws</w:t>
      </w:r>
      <w:r>
        <w:t>zym półroczu 2024 roku przedstawia tabela poniżej.</w:t>
      </w:r>
    </w:p>
    <w:tbl>
      <w:tblPr>
        <w:tblStyle w:val="TabelaCurulis"/>
        <w:tblW w:w="5000" w:type="pct"/>
        <w:tblLook w:val="04A0"/>
      </w:tblPr>
      <w:tblGrid>
        <w:gridCol w:w="504"/>
        <w:gridCol w:w="2782"/>
        <w:gridCol w:w="1579"/>
        <w:gridCol w:w="1579"/>
        <w:gridCol w:w="1579"/>
        <w:gridCol w:w="1278"/>
        <w:gridCol w:w="733"/>
      </w:tblGrid>
      <w:tr w:rsidR="00067F62" w:rsidTr="00067F62">
        <w:trPr>
          <w:cnfStyle w:val="100000000000"/>
          <w:tblHeader/>
        </w:trPr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1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1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1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30.06.2024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1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1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1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Udział (w %)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Oświata i wychowanie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48 975 647,00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55 331 687,08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24 722 835,85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44,68%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31,09%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Rolnictwo i łowiectwo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19 515 177,00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22 281 192,75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14 669 904,39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65,84%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18,45%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 i łączność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31 127 883,00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35 972 102,00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8 176 269,92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22,73%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10,28%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855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Rodzina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10 683 600,00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10 705 096,00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7 474 079,64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69,82%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9,40%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Administracja publiczna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15 184 713,00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16 941 204,96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6 590 912,73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38,90%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8,29%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14 248 535,00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12 913 316,00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4 919 071,21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38,09%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6,19%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852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Pomoc społeczna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5 440 712,00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7 162 898,06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3 489 990,86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48,72%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4,39%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i ochrona dziedzictwa narodowego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6 484 140,00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7 066 061,00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3 004 718,05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42,52%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3,78%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Turystyka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6 027 000,00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6 099 550,00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2 288 003,64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37,51%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2,88%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757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Obsługa długu publicznego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3 800 000,00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3 800 000,00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1 451 335,76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38,19%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1,83%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Gospodarka mieszkaniowa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1 625 460,00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1 625 460,00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968 540,44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59,59%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1,22%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926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Kultura fizyczna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505 935,00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1 569 379,00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517 257,71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32,96%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0,65%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Bezpieczeństwo publiczne i ochrona </w:t>
            </w:r>
            <w:r>
              <w:rPr>
                <w:sz w:val="15"/>
                <w:szCs w:val="15"/>
              </w:rPr>
              <w:lastRenderedPageBreak/>
              <w:t>przeciwpożarowa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887 000,00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984 200,00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384 292,68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39,05%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0,48%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751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378 871,00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351 619,90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92,81%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0,44%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Ochrona zdrowia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990 983,00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239 237,40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24,14%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0,30%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Wytwarzanie i zaopatrywanie w energię elektryczną, </w:t>
            </w:r>
            <w:r>
              <w:rPr>
                <w:sz w:val="15"/>
                <w:szCs w:val="15"/>
              </w:rPr>
              <w:t>gaz i wodę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358 087,00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421 887,00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118 885,00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28,18%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0,15%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Działalność usługowa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894 500,00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894 500,00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113 574,42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12,70%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0,14%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Edukacyjna opieka wychowawcza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25 500,00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45 500,00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18 722,38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41,15%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0,02%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853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Pozostałe zadania w zakresie polityki </w:t>
            </w:r>
            <w:r>
              <w:rPr>
                <w:sz w:val="15"/>
                <w:szCs w:val="15"/>
              </w:rPr>
              <w:t>społecznej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17 120,25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85,60%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0,02%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Leśnictwo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067F62" w:rsidTr="00067F62">
        <w:tc>
          <w:tcPr>
            <w:cnfStyle w:val="00100000000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758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rozliczenia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592 350,00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067F62" w:rsidTr="00067F62">
        <w:tc>
          <w:tcPr>
            <w:cnfStyle w:val="001000000000"/>
            <w:tcW w:w="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067F62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WYDATKI OGÓŁEM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166 782 789,00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185 811 237,85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79 516 372,23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42,79%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067F62" w:rsidRDefault="004F7AB8">
            <w:pPr>
              <w:cnfStyle w:val="00000000000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:rsidR="00067F62" w:rsidRDefault="00067F62">
      <w:pPr>
        <w:jc w:val="both"/>
      </w:pPr>
    </w:p>
    <w:p w:rsidR="00067F62" w:rsidRDefault="004F7AB8">
      <w:pPr>
        <w:jc w:val="both"/>
      </w:pPr>
      <w:r>
        <w:t>Podział wydatków wg rodzajów przedstawia się następująco:</w:t>
      </w:r>
    </w:p>
    <w:p w:rsidR="00067F62" w:rsidRDefault="004F7AB8">
      <w:pPr>
        <w:pStyle w:val="Akapitzlist"/>
        <w:numPr>
          <w:ilvl w:val="0"/>
          <w:numId w:val="32"/>
        </w:numPr>
        <w:jc w:val="both"/>
      </w:pPr>
      <w:r>
        <w:t>wydatki bieżące zostały wykonane na poziomie 59 334 028,17 zł, tj. w 46,11% w stosunku do planu po zmianach wynoszącego 128 671 982,85 zł, z tego:</w:t>
      </w:r>
    </w:p>
    <w:p w:rsidR="00067F62" w:rsidRDefault="004F7AB8">
      <w:pPr>
        <w:pStyle w:val="Akapitzlist"/>
        <w:numPr>
          <w:ilvl w:val="1"/>
          <w:numId w:val="32"/>
        </w:numPr>
        <w:jc w:val="both"/>
      </w:pPr>
      <w:r>
        <w:t>wynagrodzenia i składki od nich naliczane – 23 853 </w:t>
      </w:r>
      <w:r>
        <w:t>704,78 zł, tj. 45,96% planu wynoszącego 51 903 737,59 zł, z tego: wynagrodzenia osobowe nauczycieli 10 375 361,70 zł, wynagrodzenia osobowe pracowników 6 451 554,59 zł, składki na ubezpieczenia społeczne 3 767 749,53 zł, dodatkowe wynagrodzenie roczne nauc</w:t>
      </w:r>
      <w:r>
        <w:t>zycieli 1 243 674,33 zł, dodatkowe wynagrodzenie roczne 867 396,06 zł, wynagrodzenia bezosobowe 497 181,16 zł, składki na Fundusz Pracy oraz Fundusz Solidarnościowy 324 616,50 zł, wynagrodzenia nauczycieli wypłacane w związku z pomocą obywatelom Ukrainy 19</w:t>
      </w:r>
      <w:r>
        <w:t>4 988,26 zł, składki i inne pochodne od wynagrodzeń pracowników wypłacanych w związku z pomocą obywatelom Ukrainy 45 357,72 zł, wynagrodzenia i uposażenia wypłacane w związku z pomocą obywatelom Ukrainy 35 869,90 zł, wpłaty na PPK finansowane przez podmiot</w:t>
      </w:r>
      <w:r>
        <w:t xml:space="preserve"> zatrudniający 32 497,30 zł, honoraria, wynagrodzenia agencyjno-prowizyjne i wynagrodzenia bezosobowe wypłacane w związku z pomocą obywatelom Ukrainy 17 457,73 zł;</w:t>
      </w:r>
    </w:p>
    <w:p w:rsidR="00067F62" w:rsidRDefault="004F7AB8">
      <w:pPr>
        <w:pStyle w:val="Akapitzlist"/>
        <w:numPr>
          <w:ilvl w:val="1"/>
          <w:numId w:val="32"/>
        </w:numPr>
        <w:jc w:val="both"/>
      </w:pPr>
      <w:r>
        <w:t>świadczenia na rzecz osób fizycznych – 9 093 259,28 zł, tj. 63,73% planu wynoszącego 14 269 </w:t>
      </w:r>
      <w:r>
        <w:t>187,00 zł, z tego: świadczenia społeczne 7 569 287,20 zł, wydatki osobowe niezaliczone do wynagrodzeń 685 976,48 zł, różne wydatki na rzecz osób fizycznych  635 951,42 zł, świadczenia społeczne wypłacane obywatelom Ukrainy przebywającym na terytorium RP 78</w:t>
      </w:r>
      <w:r>
        <w:t> 223,80 zł, świadczenia związane z udzielaniem pomocy obywatelom Ukrainy 64 640,00 zł, nagrody o charakterze szczególnym niezaliczone do wynagrodzeń 40 458,00 zł, stypendia dla uczniów 17 482,38 zł, inne formy pomocy dla uczniów 1 240,00 zł;</w:t>
      </w:r>
    </w:p>
    <w:p w:rsidR="00067F62" w:rsidRDefault="004F7AB8">
      <w:pPr>
        <w:pStyle w:val="Akapitzlist"/>
        <w:numPr>
          <w:ilvl w:val="1"/>
          <w:numId w:val="32"/>
        </w:numPr>
        <w:jc w:val="both"/>
      </w:pPr>
      <w:r>
        <w:t xml:space="preserve">dotacje – </w:t>
      </w:r>
      <w:r>
        <w:t>6 078 176,97 zł, tj. 50,16% planu wynoszącego 12 118 078,00 zł,</w:t>
      </w:r>
    </w:p>
    <w:p w:rsidR="00067F62" w:rsidRDefault="004F7AB8">
      <w:pPr>
        <w:pStyle w:val="Akapitzlist"/>
        <w:numPr>
          <w:ilvl w:val="1"/>
          <w:numId w:val="32"/>
        </w:numPr>
        <w:jc w:val="both"/>
      </w:pPr>
      <w:r>
        <w:t>wydatki na obsługę długu publicznego – 1 451 335,76 zł, tj. 38,19% planu wynoszącego 3 800 000,00 zł,</w:t>
      </w:r>
    </w:p>
    <w:p w:rsidR="00067F62" w:rsidRDefault="004F7AB8">
      <w:pPr>
        <w:pStyle w:val="Akapitzlist"/>
        <w:numPr>
          <w:ilvl w:val="1"/>
          <w:numId w:val="32"/>
        </w:numPr>
        <w:jc w:val="both"/>
      </w:pPr>
      <w:r>
        <w:t>pozostałe wydatki bieżące – 18 857 551,38 zł, tj. 40,48% planu wynoszącego 46 580 980,26 z</w:t>
      </w:r>
      <w:r>
        <w:t>ł, z tego: zakup usług pozostałych 8 253 411,76 zł, różne opłaty i składki 2 138 583,36 zł, zakup materiałów i wyposażenia 1 906 227,54 zł, odpisy na zakładowy fundusz świadczeń socjalnych 1 510 393,95 zł, zakup usług remontowych 1 365 473,24 zł, zakup usł</w:t>
      </w:r>
      <w:r>
        <w:t>ug przez jednostki samorządu terytorialnego od innych jednostek samorządu terytorialnego 998 347,87 zł, zakup energii 743 059,90 zł, zakup środków żywności 592 712,64 zł, zakup usług związanych z pomocą obywatelom Ukrainy 464 625,24 zł, składki na ubezpiec</w:t>
      </w:r>
      <w:r>
        <w:t>zenie zdrowotne 108 734,07 zł, zakup środków dydaktycznych i książek 88 019,89 zł, kary i odszkodowania wypłacane na rzecz osób fizycznych 84 967,00 zł, szkolenia pracowników niebędących członkami korpusu służby cywilnej  83 257,09 zł, opłaty za administro</w:t>
      </w:r>
      <w:r>
        <w:t>wanie i czynsze za budynki, lokale i pomieszczenia garażowe 70 629,84 zł, podróże służbowe krajowe 60 944,72 zł, opłaty na rzecz budżetu państwa 60 575,10 zł, zakup towarów (w szczególności materiałów, leków, żywności) w związku z pomocą obywatelom Ukrainy</w:t>
      </w:r>
      <w:r>
        <w:t xml:space="preserve"> 58 905,47 zł, opłaty z tytułu zakupu usług telekomunikacyjnych 45 553,90 zł, podatek od nieruchomości 44 628,00 zł, dopłaty w spółkach prawa handlowego 43 923,00 zł, wpłaty gmin na rzecz izb rolniczych w wysokości 2% uzyskanych wpływów z podatku rolnego 2</w:t>
      </w:r>
      <w:r>
        <w:t>7 988,86 zł, nagrody konkursowe 19 202,91 zł, zwrot dotacji oraz płatności wykorzystanych niezgodnie z przeznaczeniem lub wykorzystanych z naruszeniem procedur, o których mowa w art. 184 ustawy, pobranych nienależnie lub w nadmiernej wysokości 17 633,44 zł</w:t>
      </w:r>
      <w:r>
        <w:t xml:space="preserve">, pozostałe wydatki bieżące na zadania związane z pomocą obywatelom </w:t>
      </w:r>
      <w:r>
        <w:lastRenderedPageBreak/>
        <w:t>Ukrainy 16 970,19 zł, wpłaty jednostek na państwowy fundusz celowy 15 000,00 zł, kary, odszkodowania i grzywny wypłacane na rzecz osób prawnych i innych jednostek organizacyjnych 12 684,49</w:t>
      </w:r>
      <w:r>
        <w:t xml:space="preserve"> zł, zakup usług zdrowotnych 10 855,50 zł, koszty postępowania sądowego i prokuratorskiego 8 959,46 zł, odsetki od dotacji oraz płatności: wykorzystanych niezgodnie z przeznaczeniem lub wykorzystanych z naruszeniem procedur, o których mowa w art. 184 ustaw</w:t>
      </w:r>
      <w:r>
        <w:t>y, pobranych nienależnie lub  w nadmiernej wysokości 4 182,95 zł, zwrot niewykorzystanych dotacji oraz płatności 1 100,00 zł;</w:t>
      </w:r>
    </w:p>
    <w:p w:rsidR="00067F62" w:rsidRDefault="004F7AB8">
      <w:pPr>
        <w:pStyle w:val="Akapitzlist"/>
        <w:numPr>
          <w:ilvl w:val="0"/>
          <w:numId w:val="32"/>
        </w:numPr>
        <w:jc w:val="both"/>
      </w:pPr>
      <w:r>
        <w:t>wydatki majątkowe zostały wykonane na poziomie 20 182 344,06 zł, tj. w 35,32% w stosunku do planu po zmianach wynoszącego 57 139 2</w:t>
      </w:r>
      <w:r>
        <w:t>55,00 zł, z tego:</w:t>
      </w:r>
    </w:p>
    <w:p w:rsidR="00067F62" w:rsidRDefault="004F7AB8">
      <w:pPr>
        <w:pStyle w:val="Akapitzlist"/>
        <w:numPr>
          <w:ilvl w:val="1"/>
          <w:numId w:val="32"/>
        </w:numPr>
        <w:jc w:val="both"/>
      </w:pPr>
      <w:r>
        <w:t>wydatki inwestycyjne i zakupy inwestycyjne – 19 426 744,06 zł, tj. 36,55% planu wynoszącego 53 146 255,00 zł,</w:t>
      </w:r>
    </w:p>
    <w:p w:rsidR="00067F62" w:rsidRDefault="004F7AB8">
      <w:pPr>
        <w:pStyle w:val="Akapitzlist"/>
        <w:numPr>
          <w:ilvl w:val="1"/>
          <w:numId w:val="32"/>
        </w:numPr>
        <w:jc w:val="both"/>
      </w:pPr>
      <w:r>
        <w:t>pozostałe wydatki majątkowe – 755 600,00 zł, tj. 18,92% planu wynoszącego 3 993 000,00 zł,</w:t>
      </w:r>
    </w:p>
    <w:p w:rsidR="00067F62" w:rsidRDefault="004F7AB8">
      <w:pPr>
        <w:pStyle w:val="SmallSubtitle"/>
      </w:pPr>
      <w:r>
        <w:t>Przychody i rozchody</w:t>
      </w:r>
    </w:p>
    <w:p w:rsidR="00067F62" w:rsidRDefault="004F7AB8">
      <w:pPr>
        <w:jc w:val="both"/>
      </w:pPr>
      <w:r>
        <w:t>Przychody w pier</w:t>
      </w:r>
      <w:r>
        <w:t>wszym półroczu 2024 roku zrealizowano w łącznej kwocie 17 325 407,11 zł, (co stanowi 55,53% planu), w tym:</w:t>
      </w:r>
    </w:p>
    <w:p w:rsidR="00067F62" w:rsidRDefault="004F7AB8">
      <w:pPr>
        <w:pStyle w:val="Akapitzlist"/>
        <w:numPr>
          <w:ilvl w:val="0"/>
          <w:numId w:val="33"/>
        </w:numPr>
        <w:jc w:val="both"/>
      </w:pPr>
      <w:r>
        <w:t>wolne środki, o których mowa w art. 217 ust. 2 pkt 6 ustawy o finansach publicznych – 17 325 407,11 zł.</w:t>
      </w:r>
    </w:p>
    <w:p w:rsidR="00067F62" w:rsidRDefault="004F7AB8">
      <w:pPr>
        <w:jc w:val="both"/>
      </w:pPr>
      <w:r>
        <w:t>Rozchody w pierwszym półroczu 2024 roku zreal</w:t>
      </w:r>
      <w:r>
        <w:t>izowano w łącznej kwocie 3 740 000,00 zł (co stanowi 57,01% planu), w tym:</w:t>
      </w:r>
    </w:p>
    <w:p w:rsidR="00067F62" w:rsidRDefault="004F7AB8">
      <w:pPr>
        <w:pStyle w:val="Akapitzlist"/>
        <w:numPr>
          <w:ilvl w:val="0"/>
          <w:numId w:val="34"/>
        </w:numPr>
        <w:jc w:val="both"/>
      </w:pPr>
      <w:r>
        <w:t>Spłaty kredytów i pożyczek, wykup papierów wartościowych – 3 740 000,00 zł.</w:t>
      </w:r>
    </w:p>
    <w:sectPr w:rsidR="00067F62" w:rsidSect="00654CA5">
      <w:footerReference w:type="even" r:id="rId8"/>
      <w:footerReference w:type="default" r:id="rId9"/>
      <w:footerReference w:type="first" r:id="rId10"/>
      <w:pgSz w:w="11906" w:h="16838"/>
      <w:pgMar w:top="992" w:right="1021" w:bottom="992" w:left="1021" w:header="709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B8" w:rsidRDefault="004F7AB8">
      <w:pPr>
        <w:spacing w:after="0" w:line="240" w:lineRule="auto"/>
      </w:pPr>
      <w:r>
        <w:separator/>
      </w:r>
    </w:p>
  </w:endnote>
  <w:endnote w:type="continuationSeparator" w:id="0">
    <w:p w:rsidR="004F7AB8" w:rsidRDefault="004F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62596"/>
      <w:docPartList>
        <w:docPartGallery w:val="Quick Parts"/>
        <w:docPartUnique/>
      </w:docPartList>
    </w:sdtPr>
    <w:sdtContent>
      <w:p w:rsidR="00067F62" w:rsidRDefault="00654CA5">
        <w:pPr>
          <w:pStyle w:val="Stopka"/>
          <w:jc w:val="center"/>
        </w:pPr>
        <w:r>
          <w:fldChar w:fldCharType="begin"/>
        </w:r>
        <w:r w:rsidR="004F7AB8">
          <w:instrText>PAGE   \* MERGEFORMAT</w:instrText>
        </w:r>
        <w:r>
          <w:fldChar w:fldCharType="separate"/>
        </w:r>
        <w:r w:rsidR="002F0678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368985"/>
      <w:docPartList>
        <w:docPartGallery w:val="Quick Parts"/>
        <w:docPartUnique/>
      </w:docPartList>
    </w:sdtPr>
    <w:sdtContent>
      <w:p w:rsidR="00067F62" w:rsidRDefault="00654CA5">
        <w:pPr>
          <w:pStyle w:val="Stopka"/>
          <w:jc w:val="center"/>
        </w:pPr>
        <w:r>
          <w:fldChar w:fldCharType="begin"/>
        </w:r>
        <w:r w:rsidR="004F7AB8">
          <w:instrText>PAGE   \* M</w:instrText>
        </w:r>
        <w:r w:rsidR="004F7AB8">
          <w:instrText>ERGEFORMAT</w:instrText>
        </w:r>
        <w:r>
          <w:fldChar w:fldCharType="separate"/>
        </w:r>
        <w:r w:rsidR="002F0678">
          <w:rPr>
            <w:noProof/>
          </w:rPr>
          <w:t>5</w:t>
        </w:r>
        <w:r>
          <w:fldChar w:fldCharType="end"/>
        </w:r>
      </w:p>
    </w:sdtContent>
  </w:sdt>
  <w:p w:rsidR="00067F62" w:rsidRDefault="00067F62">
    <w:pPr>
      <w:pStyle w:val="Stopka"/>
      <w:ind w:left="-567"/>
      <w:jc w:val="right"/>
      <w:rPr>
        <w:vanish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F62" w:rsidRDefault="00067F62">
    <w:pPr>
      <w:pStyle w:val="Stopka"/>
      <w:ind w:left="-567"/>
      <w:rPr>
        <w:vanish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B8" w:rsidRDefault="004F7AB8">
      <w:pPr>
        <w:spacing w:after="0" w:line="240" w:lineRule="auto"/>
      </w:pPr>
      <w:r>
        <w:separator/>
      </w:r>
    </w:p>
  </w:footnote>
  <w:footnote w:type="continuationSeparator" w:id="0">
    <w:p w:rsidR="004F7AB8" w:rsidRDefault="004F7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76B"/>
    <w:multiLevelType w:val="multilevel"/>
    <w:tmpl w:val="27C88C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A16AD7"/>
    <w:multiLevelType w:val="multilevel"/>
    <w:tmpl w:val="63F658E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0B223B36"/>
    <w:multiLevelType w:val="hybridMultilevel"/>
    <w:tmpl w:val="0C8E0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36ABF"/>
    <w:multiLevelType w:val="multilevel"/>
    <w:tmpl w:val="DF4CF5B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17083995"/>
    <w:multiLevelType w:val="hybridMultilevel"/>
    <w:tmpl w:val="6804E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51982"/>
    <w:multiLevelType w:val="hybridMultilevel"/>
    <w:tmpl w:val="2C449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3249D"/>
    <w:multiLevelType w:val="hybridMultilevel"/>
    <w:tmpl w:val="20CC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17914"/>
    <w:multiLevelType w:val="multilevel"/>
    <w:tmpl w:val="A3C8CC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1B43031C"/>
    <w:multiLevelType w:val="hybridMultilevel"/>
    <w:tmpl w:val="E7509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83732"/>
    <w:multiLevelType w:val="hybridMultilevel"/>
    <w:tmpl w:val="4B92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92E68"/>
    <w:multiLevelType w:val="multilevel"/>
    <w:tmpl w:val="271A7C1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330EF989"/>
    <w:multiLevelType w:val="multilevel"/>
    <w:tmpl w:val="2BD869E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3AA88C77"/>
    <w:multiLevelType w:val="multilevel"/>
    <w:tmpl w:val="08A05B5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>
    <w:nsid w:val="3D226126"/>
    <w:multiLevelType w:val="multilevel"/>
    <w:tmpl w:val="5AE67BC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>
    <w:nsid w:val="433B7B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53D6AC4"/>
    <w:multiLevelType w:val="multilevel"/>
    <w:tmpl w:val="690A36A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457C677D"/>
    <w:multiLevelType w:val="hybridMultilevel"/>
    <w:tmpl w:val="DE6EC6EC"/>
    <w:lvl w:ilvl="0" w:tplc="CBD8A3CE">
      <w:start w:val="1"/>
      <w:numFmt w:val="decimal"/>
      <w:lvlText w:val="%1."/>
      <w:lvlJc w:val="left"/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6D847"/>
    <w:multiLevelType w:val="multilevel"/>
    <w:tmpl w:val="88268B2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>
    <w:nsid w:val="4AD10A42"/>
    <w:multiLevelType w:val="multilevel"/>
    <w:tmpl w:val="B6EAAF98"/>
    <w:lvl w:ilvl="0">
      <w:start w:val="1"/>
      <w:numFmt w:val="decimal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0" w:firstLine="0"/>
      </w:pPr>
    </w:lvl>
    <w:lvl w:ilvl="3">
      <w:start w:val="1"/>
      <w:numFmt w:val="decimal"/>
      <w:pStyle w:val="Styl3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E4C308E"/>
    <w:multiLevelType w:val="multilevel"/>
    <w:tmpl w:val="BB10C79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>
    <w:nsid w:val="52F45079"/>
    <w:multiLevelType w:val="multilevel"/>
    <w:tmpl w:val="D8582E0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>
    <w:nsid w:val="557E19A3"/>
    <w:multiLevelType w:val="multilevel"/>
    <w:tmpl w:val="EB3E657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63DB04CC"/>
    <w:multiLevelType w:val="hybridMultilevel"/>
    <w:tmpl w:val="5BE48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B0661"/>
    <w:multiLevelType w:val="multilevel"/>
    <w:tmpl w:val="C3226AB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>
    <w:nsid w:val="672718CE"/>
    <w:multiLevelType w:val="multilevel"/>
    <w:tmpl w:val="D9369C9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9E71DAD"/>
    <w:multiLevelType w:val="hybridMultilevel"/>
    <w:tmpl w:val="BAA84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64E3E"/>
    <w:multiLevelType w:val="multilevel"/>
    <w:tmpl w:val="4B2EB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6D474CF"/>
    <w:multiLevelType w:val="multilevel"/>
    <w:tmpl w:val="9C5AD24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>
    <w:nsid w:val="7EFE18A7"/>
    <w:multiLevelType w:val="multilevel"/>
    <w:tmpl w:val="2F74FDA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>
    <w:nsid w:val="7F07D627"/>
    <w:multiLevelType w:val="multilevel"/>
    <w:tmpl w:val="0870173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6"/>
  </w:num>
  <w:num w:numId="2">
    <w:abstractNumId w:val="25"/>
  </w:num>
  <w:num w:numId="3">
    <w:abstractNumId w:val="4"/>
  </w:num>
  <w:num w:numId="4">
    <w:abstractNumId w:val="26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27"/>
  </w:num>
  <w:num w:numId="11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8"/>
  </w:num>
  <w:num w:numId="16">
    <w:abstractNumId w:val="16"/>
  </w:num>
  <w:num w:numId="17">
    <w:abstractNumId w:val="18"/>
  </w:num>
  <w:num w:numId="18">
    <w:abstractNumId w:val="14"/>
  </w:num>
  <w:num w:numId="19">
    <w:abstractNumId w:val="9"/>
  </w:num>
  <w:num w:numId="20">
    <w:abstractNumId w:val="22"/>
  </w:num>
  <w:num w:numId="21">
    <w:abstractNumId w:val="15"/>
  </w:num>
  <w:num w:numId="22">
    <w:abstractNumId w:val="24"/>
  </w:num>
  <w:num w:numId="23">
    <w:abstractNumId w:val="23"/>
  </w:num>
  <w:num w:numId="24">
    <w:abstractNumId w:val="17"/>
  </w:num>
  <w:num w:numId="25">
    <w:abstractNumId w:val="28"/>
  </w:num>
  <w:num w:numId="26">
    <w:abstractNumId w:val="12"/>
  </w:num>
  <w:num w:numId="27">
    <w:abstractNumId w:val="20"/>
  </w:num>
  <w:num w:numId="28">
    <w:abstractNumId w:val="19"/>
  </w:num>
  <w:num w:numId="29">
    <w:abstractNumId w:val="13"/>
  </w:num>
  <w:num w:numId="30">
    <w:abstractNumId w:val="29"/>
  </w:num>
  <w:num w:numId="31">
    <w:abstractNumId w:val="3"/>
  </w:num>
  <w:num w:numId="32">
    <w:abstractNumId w:val="1"/>
  </w:num>
  <w:num w:numId="33">
    <w:abstractNumId w:val="10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F62"/>
    <w:rsid w:val="00067F62"/>
    <w:rsid w:val="000E7C5B"/>
    <w:rsid w:val="002F0678"/>
    <w:rsid w:val="00372027"/>
    <w:rsid w:val="004F7AB8"/>
    <w:rsid w:val="00654CA5"/>
    <w:rsid w:val="00B824F6"/>
    <w:rsid w:val="00F6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D0D0D" w:themeColor="text1" w:themeTint="F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CA5"/>
    <w:pPr>
      <w:spacing w:line="276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CA5"/>
    <w:pPr>
      <w:keepNext/>
      <w:keepLines/>
      <w:numPr>
        <w:numId w:val="17"/>
      </w:numPr>
      <w:spacing w:before="840" w:after="840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4CA5"/>
    <w:pPr>
      <w:keepNext/>
      <w:keepLines/>
      <w:numPr>
        <w:ilvl w:val="1"/>
        <w:numId w:val="17"/>
      </w:numPr>
      <w:spacing w:before="480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4CA5"/>
    <w:pPr>
      <w:keepNext/>
      <w:keepLines/>
      <w:numPr>
        <w:ilvl w:val="2"/>
        <w:numId w:val="17"/>
      </w:numPr>
      <w:spacing w:before="480" w:after="40" w:line="360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3C3F49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4CA5"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b/>
      <w:iCs/>
      <w:smallCaps/>
      <w:color w:val="234466" w:themeColor="accent1" w:themeShade="BF"/>
      <w:szCs w:val="20"/>
    </w:rPr>
  </w:style>
  <w:style w:type="paragraph" w:styleId="Nagwek5">
    <w:name w:val="heading 5"/>
    <w:next w:val="Normalny"/>
    <w:uiPriority w:val="9"/>
    <w:unhideWhenUsed/>
    <w:qFormat/>
    <w:rsid w:val="00654CA5"/>
    <w:pPr>
      <w:keepNext/>
      <w:spacing w:before="240" w:after="12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54CA5"/>
    <w:pPr>
      <w:spacing w:before="840" w:after="300" w:line="240" w:lineRule="auto"/>
      <w:contextualSpacing/>
      <w:jc w:val="center"/>
    </w:pPr>
    <w:rPr>
      <w:rFonts w:eastAsiaTheme="majorEastAsia" w:cstheme="majorBidi"/>
      <w:b/>
      <w:color w:val="3C3F49" w:themeColor="text2"/>
      <w:spacing w:val="5"/>
      <w:kern w:val="28"/>
      <w:sz w:val="72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4CA5"/>
    <w:rPr>
      <w:rFonts w:eastAsiaTheme="minorEastAsia"/>
      <w:color w:val="auto"/>
      <w:szCs w:val="14"/>
    </w:rPr>
  </w:style>
  <w:style w:type="paragraph" w:styleId="Akapitzlist">
    <w:name w:val="List Paragraph"/>
    <w:basedOn w:val="Normalny"/>
    <w:autoRedefine/>
    <w:qFormat/>
    <w:rsid w:val="00654CA5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654C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qFormat/>
    <w:rsid w:val="00654CA5"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</w:rPr>
  </w:style>
  <w:style w:type="paragraph" w:styleId="Cytat">
    <w:name w:val="Quote"/>
    <w:aliases w:val="Uwaga"/>
    <w:basedOn w:val="Normalny"/>
    <w:next w:val="Normalny"/>
    <w:link w:val="CytatZnak"/>
    <w:autoRedefine/>
    <w:qFormat/>
    <w:rsid w:val="00654CA5"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</w:rPr>
  </w:style>
  <w:style w:type="paragraph" w:styleId="Nagwek">
    <w:name w:val="header"/>
    <w:basedOn w:val="Normalny"/>
    <w:link w:val="NagwekZnak"/>
    <w:rsid w:val="00654CA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654CA5"/>
    <w:pPr>
      <w:tabs>
        <w:tab w:val="center" w:pos="4536"/>
        <w:tab w:val="right" w:pos="9072"/>
      </w:tabs>
      <w:spacing w:before="240" w:after="0" w:line="240" w:lineRule="auto"/>
    </w:pPr>
    <w:rPr>
      <w:sz w:val="18"/>
    </w:rPr>
  </w:style>
  <w:style w:type="paragraph" w:styleId="Nagwekspisutreci">
    <w:name w:val="TOC Heading"/>
    <w:basedOn w:val="Nagwek1"/>
    <w:next w:val="Normalny"/>
    <w:qFormat/>
    <w:rsid w:val="00654CA5"/>
    <w:pPr>
      <w:spacing w:line="259" w:lineRule="auto"/>
      <w:outlineLvl w:val="9"/>
    </w:pPr>
    <w:rPr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rsid w:val="00654CA5"/>
    <w:pPr>
      <w:spacing w:before="240" w:after="0"/>
    </w:pPr>
    <w:rPr>
      <w:rFonts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rsid w:val="00654CA5"/>
    <w:pPr>
      <w:spacing w:before="120" w:after="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rsid w:val="00654CA5"/>
    <w:pPr>
      <w:spacing w:after="0"/>
      <w:ind w:left="200"/>
    </w:pPr>
    <w:rPr>
      <w:rFonts w:cstheme="minorHAnsi"/>
    </w:rPr>
  </w:style>
  <w:style w:type="paragraph" w:styleId="Spistreci4">
    <w:name w:val="toc 4"/>
    <w:basedOn w:val="Normalny"/>
    <w:next w:val="Normalny"/>
    <w:autoRedefine/>
    <w:rsid w:val="00654CA5"/>
    <w:pPr>
      <w:spacing w:after="0"/>
      <w:ind w:left="400"/>
    </w:pPr>
    <w:rPr>
      <w:rFonts w:cstheme="minorHAnsi"/>
    </w:rPr>
  </w:style>
  <w:style w:type="paragraph" w:styleId="Spistreci5">
    <w:name w:val="toc 5"/>
    <w:basedOn w:val="Normalny"/>
    <w:next w:val="Normalny"/>
    <w:autoRedefine/>
    <w:rsid w:val="00654CA5"/>
    <w:pPr>
      <w:spacing w:after="0"/>
      <w:ind w:left="600"/>
    </w:pPr>
    <w:rPr>
      <w:rFonts w:cstheme="minorHAnsi"/>
    </w:rPr>
  </w:style>
  <w:style w:type="paragraph" w:styleId="Spistreci6">
    <w:name w:val="toc 6"/>
    <w:basedOn w:val="Normalny"/>
    <w:next w:val="Normalny"/>
    <w:autoRedefine/>
    <w:rsid w:val="00654CA5"/>
    <w:pPr>
      <w:spacing w:after="0"/>
      <w:ind w:left="800"/>
    </w:pPr>
    <w:rPr>
      <w:rFonts w:cstheme="minorHAnsi"/>
    </w:rPr>
  </w:style>
  <w:style w:type="paragraph" w:styleId="Spistreci7">
    <w:name w:val="toc 7"/>
    <w:basedOn w:val="Normalny"/>
    <w:next w:val="Normalny"/>
    <w:autoRedefine/>
    <w:rsid w:val="00654CA5"/>
    <w:pPr>
      <w:spacing w:after="0"/>
      <w:ind w:left="1000"/>
    </w:pPr>
    <w:rPr>
      <w:rFonts w:cstheme="minorHAnsi"/>
    </w:rPr>
  </w:style>
  <w:style w:type="paragraph" w:styleId="Spistreci8">
    <w:name w:val="toc 8"/>
    <w:basedOn w:val="Normalny"/>
    <w:next w:val="Normalny"/>
    <w:autoRedefine/>
    <w:rsid w:val="00654CA5"/>
    <w:pPr>
      <w:spacing w:after="0"/>
      <w:ind w:left="1200"/>
    </w:pPr>
    <w:rPr>
      <w:rFonts w:cstheme="minorHAnsi"/>
    </w:rPr>
  </w:style>
  <w:style w:type="paragraph" w:styleId="Spistreci9">
    <w:name w:val="toc 9"/>
    <w:basedOn w:val="Normalny"/>
    <w:next w:val="Normalny"/>
    <w:autoRedefine/>
    <w:rsid w:val="00654CA5"/>
    <w:pPr>
      <w:spacing w:after="0"/>
      <w:ind w:left="1400"/>
    </w:pPr>
    <w:rPr>
      <w:rFonts w:cstheme="minorHAnsi"/>
    </w:rPr>
  </w:style>
  <w:style w:type="paragraph" w:styleId="Tekstkomentarza">
    <w:name w:val="annotation text"/>
    <w:basedOn w:val="Normalny"/>
    <w:link w:val="TekstkomentarzaZnak"/>
    <w:rsid w:val="00654CA5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54CA5"/>
    <w:rPr>
      <w:b/>
      <w:bCs/>
    </w:rPr>
  </w:style>
  <w:style w:type="paragraph" w:styleId="Legenda">
    <w:name w:val="caption"/>
    <w:basedOn w:val="Normalny"/>
    <w:next w:val="Normalny"/>
    <w:qFormat/>
    <w:rsid w:val="00654CA5"/>
    <w:pPr>
      <w:spacing w:after="200" w:line="240" w:lineRule="auto"/>
    </w:pPr>
    <w:rPr>
      <w:i/>
      <w:iCs/>
      <w:color w:val="3C3F49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654CA5"/>
    <w:pPr>
      <w:spacing w:after="0" w:line="240" w:lineRule="auto"/>
    </w:pPr>
  </w:style>
  <w:style w:type="paragraph" w:customStyle="1" w:styleId="Styl1">
    <w:name w:val="Styl1"/>
    <w:basedOn w:val="Podtytu"/>
    <w:link w:val="Styl1Znak"/>
    <w:qFormat/>
    <w:rsid w:val="00654CA5"/>
  </w:style>
  <w:style w:type="paragraph" w:customStyle="1" w:styleId="Naglowek4">
    <w:name w:val="Naglowek 4"/>
    <w:basedOn w:val="Nagwek3"/>
    <w:next w:val="Nagwek4"/>
    <w:qFormat/>
    <w:rsid w:val="00654CA5"/>
    <w:pPr>
      <w:spacing w:before="120" w:after="120"/>
    </w:pPr>
  </w:style>
  <w:style w:type="paragraph" w:customStyle="1" w:styleId="Styl2">
    <w:name w:val="Styl2"/>
    <w:basedOn w:val="Nagwek3"/>
    <w:next w:val="Naglowek4"/>
    <w:qFormat/>
    <w:rsid w:val="00654CA5"/>
  </w:style>
  <w:style w:type="paragraph" w:customStyle="1" w:styleId="Styl3">
    <w:name w:val="Styl3"/>
    <w:basedOn w:val="Nagwek3"/>
    <w:qFormat/>
    <w:rsid w:val="00654CA5"/>
    <w:pPr>
      <w:numPr>
        <w:ilvl w:val="3"/>
      </w:numPr>
    </w:pPr>
  </w:style>
  <w:style w:type="paragraph" w:customStyle="1" w:styleId="Styl31">
    <w:name w:val="Styl31"/>
    <w:basedOn w:val="Nagwek3"/>
    <w:next w:val="Styl3"/>
    <w:qFormat/>
    <w:rsid w:val="00654CA5"/>
    <w:pPr>
      <w:numPr>
        <w:numId w:val="0"/>
      </w:numPr>
      <w:ind w:left="1080" w:hanging="1080"/>
    </w:pPr>
  </w:style>
  <w:style w:type="paragraph" w:customStyle="1" w:styleId="SmallTitle">
    <w:name w:val="SmallTitle"/>
    <w:basedOn w:val="Normalny"/>
    <w:link w:val="SmallTitleZnak"/>
    <w:qFormat/>
    <w:rsid w:val="00654CA5"/>
    <w:pPr>
      <w:spacing w:line="259" w:lineRule="auto"/>
      <w:jc w:val="center"/>
    </w:pPr>
    <w:rPr>
      <w:b/>
      <w:bCs/>
    </w:rPr>
  </w:style>
  <w:style w:type="paragraph" w:customStyle="1" w:styleId="SmallSubtitle">
    <w:name w:val="SmallSubtitle"/>
    <w:basedOn w:val="Normalny"/>
    <w:link w:val="SmallSubtitleZnak"/>
    <w:qFormat/>
    <w:rsid w:val="00654CA5"/>
    <w:pPr>
      <w:keepNext/>
      <w:spacing w:before="240"/>
    </w:pPr>
    <w:rPr>
      <w:b/>
      <w:caps/>
      <w:lang w:val="en-US"/>
    </w:rPr>
  </w:style>
  <w:style w:type="paragraph" w:styleId="Tekstprzypisudolnego">
    <w:name w:val="footnote text"/>
    <w:link w:val="TekstprzypisudolnegoZnak"/>
    <w:semiHidden/>
    <w:rsid w:val="00654CA5"/>
    <w:pPr>
      <w:spacing w:after="0" w:line="240" w:lineRule="auto"/>
    </w:pPr>
    <w:rPr>
      <w:szCs w:val="20"/>
    </w:rPr>
  </w:style>
  <w:style w:type="character" w:styleId="Numerwiersza">
    <w:name w:val="line number"/>
    <w:basedOn w:val="Domylnaczcionkaakapitu"/>
    <w:semiHidden/>
    <w:rsid w:val="00654CA5"/>
  </w:style>
  <w:style w:type="character" w:styleId="Hipercze">
    <w:name w:val="Hyperlink"/>
    <w:basedOn w:val="Domylnaczcionkaakapitu"/>
    <w:rsid w:val="00654CA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54CA5"/>
    <w:rPr>
      <w:rFonts w:asciiTheme="majorHAnsi" w:eastAsiaTheme="majorEastAsia" w:hAnsiTheme="majorHAnsi" w:cstheme="majorBidi"/>
      <w:b/>
      <w:color w:val="2F5C89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54CA5"/>
    <w:rPr>
      <w:rFonts w:asciiTheme="majorHAnsi" w:eastAsiaTheme="majorEastAsia" w:hAnsiTheme="majorHAnsi" w:cstheme="majorBidi"/>
      <w:b/>
      <w:smallCaps/>
      <w:color w:val="234466" w:themeColor="accent1" w:themeShade="BF"/>
    </w:rPr>
  </w:style>
  <w:style w:type="character" w:customStyle="1" w:styleId="TytuZnak">
    <w:name w:val="Tytuł Znak"/>
    <w:basedOn w:val="Domylnaczcionkaakapitu"/>
    <w:link w:val="Tytu"/>
    <w:rsid w:val="00654CA5"/>
    <w:rPr>
      <w:rFonts w:ascii="Times New Roman" w:eastAsiaTheme="majorEastAsia" w:hAnsi="Times New Roman" w:cstheme="majorBidi"/>
      <w:b/>
      <w:color w:val="3C3F49" w:themeColor="text2"/>
      <w:spacing w:val="5"/>
      <w:kern w:val="28"/>
      <w:sz w:val="72"/>
      <w:szCs w:val="48"/>
    </w:rPr>
  </w:style>
  <w:style w:type="character" w:customStyle="1" w:styleId="PodtytuZnak">
    <w:name w:val="Podtytuł Znak"/>
    <w:basedOn w:val="Domylnaczcionkaakapitu"/>
    <w:link w:val="Podtytu"/>
    <w:rsid w:val="00654CA5"/>
    <w:rPr>
      <w:rFonts w:eastAsiaTheme="minorEastAsia"/>
      <w:color w:val="auto"/>
      <w:szCs w:val="14"/>
    </w:rPr>
  </w:style>
  <w:style w:type="character" w:customStyle="1" w:styleId="Nagwek3Znak">
    <w:name w:val="Nagłówek 3 Znak"/>
    <w:basedOn w:val="Domylnaczcionkaakapitu"/>
    <w:link w:val="Nagwek3"/>
    <w:rsid w:val="00654CA5"/>
    <w:rPr>
      <w:rFonts w:asciiTheme="majorHAnsi" w:eastAsiaTheme="majorEastAsia" w:hAnsiTheme="majorHAnsi" w:cstheme="majorBidi"/>
      <w:b/>
      <w:smallCaps/>
      <w:color w:val="3C3F49"/>
      <w:sz w:val="20"/>
      <w:szCs w:val="20"/>
    </w:rPr>
  </w:style>
  <w:style w:type="character" w:styleId="Wyrnieniedelikatne">
    <w:name w:val="Subtle Emphasis"/>
    <w:aliases w:val="Źródło"/>
    <w:basedOn w:val="Domylnaczcionkaakapitu"/>
    <w:rsid w:val="00654CA5"/>
    <w:rPr>
      <w:i/>
      <w:iCs/>
      <w:color w:val="404040" w:themeColor="text1" w:themeTint="BF"/>
    </w:rPr>
  </w:style>
  <w:style w:type="character" w:customStyle="1" w:styleId="TekstdymkaZnak">
    <w:name w:val="Tekst dymka Znak"/>
    <w:basedOn w:val="Domylnaczcionkaakapitu"/>
    <w:link w:val="Tekstdymka"/>
    <w:semiHidden/>
    <w:rsid w:val="00654CA5"/>
    <w:rPr>
      <w:rFonts w:ascii="Segoe UI" w:hAnsi="Segoe UI" w:cs="Segoe UI"/>
      <w:color w:val="121313" w:themeColor="background2" w:themeShade="19"/>
      <w:sz w:val="18"/>
      <w:szCs w:val="18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rsid w:val="00654CA5"/>
    <w:rPr>
      <w:i/>
      <w:iCs/>
      <w:color w:val="006139" w:themeColor="accent6"/>
      <w:sz w:val="20"/>
      <w:shd w:val="clear" w:color="auto" w:fill="E1F5F5"/>
    </w:rPr>
  </w:style>
  <w:style w:type="character" w:customStyle="1" w:styleId="CytatZnak">
    <w:name w:val="Cytat Znak"/>
    <w:aliases w:val="Uwaga Znak"/>
    <w:basedOn w:val="Domylnaczcionkaakapitu"/>
    <w:link w:val="Cytat"/>
    <w:rsid w:val="00654CA5"/>
    <w:rPr>
      <w:i/>
      <w:iCs/>
      <w:color w:val="D90912" w:themeColor="accent4"/>
      <w:sz w:val="20"/>
      <w:shd w:val="clear" w:color="auto" w:fill="FFF5F5"/>
    </w:rPr>
  </w:style>
  <w:style w:type="character" w:customStyle="1" w:styleId="NagwekZnak">
    <w:name w:val="Nagłówek Znak"/>
    <w:basedOn w:val="Domylnaczcionkaakapitu"/>
    <w:link w:val="Nagwek"/>
    <w:rsid w:val="00654CA5"/>
    <w:rPr>
      <w:color w:val="121313" w:themeColor="background2" w:themeShade="19"/>
      <w:sz w:val="20"/>
    </w:rPr>
  </w:style>
  <w:style w:type="character" w:customStyle="1" w:styleId="StopkaZnak">
    <w:name w:val="Stopka Znak"/>
    <w:basedOn w:val="Domylnaczcionkaakapitu"/>
    <w:link w:val="Stopka"/>
    <w:rsid w:val="00654CA5"/>
    <w:rPr>
      <w:rFonts w:ascii="Times New Roman" w:hAnsi="Times New Roman"/>
      <w:sz w:val="18"/>
    </w:rPr>
  </w:style>
  <w:style w:type="character" w:styleId="Odwoaniedokomentarza">
    <w:name w:val="annotation reference"/>
    <w:basedOn w:val="Domylnaczcionkaakapitu"/>
    <w:semiHidden/>
    <w:rsid w:val="00654C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654CA5"/>
  </w:style>
  <w:style w:type="character" w:customStyle="1" w:styleId="TematkomentarzaZnak">
    <w:name w:val="Temat komentarza Znak"/>
    <w:basedOn w:val="TekstkomentarzaZnak"/>
    <w:link w:val="Tematkomentarza"/>
    <w:semiHidden/>
    <w:rsid w:val="00654CA5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54CA5"/>
  </w:style>
  <w:style w:type="character" w:styleId="Odwoanieprzypisukocowego">
    <w:name w:val="endnote reference"/>
    <w:basedOn w:val="Domylnaczcionkaakapitu"/>
    <w:semiHidden/>
    <w:rsid w:val="00654CA5"/>
    <w:rPr>
      <w:vertAlign w:val="superscript"/>
    </w:rPr>
  </w:style>
  <w:style w:type="character" w:customStyle="1" w:styleId="Styl1Znak">
    <w:name w:val="Styl1 Znak"/>
    <w:basedOn w:val="PodtytuZnak"/>
    <w:link w:val="Styl1"/>
    <w:rsid w:val="00654CA5"/>
    <w:rPr>
      <w:rFonts w:eastAsiaTheme="minorEastAsia"/>
      <w:color w:val="auto"/>
      <w:szCs w:val="1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4CA5"/>
    <w:rPr>
      <w:rFonts w:asciiTheme="majorHAnsi" w:eastAsiaTheme="majorEastAsia" w:hAnsiTheme="majorHAnsi" w:cstheme="majorBidi"/>
      <w:b/>
      <w:iCs/>
      <w:smallCaps/>
      <w:color w:val="234466" w:themeColor="accent1" w:themeShade="BF"/>
      <w:szCs w:val="20"/>
    </w:rPr>
  </w:style>
  <w:style w:type="character" w:customStyle="1" w:styleId="SmallTitleZnak">
    <w:name w:val="SmallTitle Znak"/>
    <w:basedOn w:val="Domylnaczcionkaakapitu"/>
    <w:link w:val="SmallTitle"/>
    <w:rsid w:val="00654CA5"/>
    <w:rPr>
      <w:rFonts w:ascii="Times New Roman" w:hAnsi="Times New Roman"/>
      <w:b/>
      <w:bCs/>
    </w:rPr>
  </w:style>
  <w:style w:type="character" w:customStyle="1" w:styleId="SmallSubtitleZnak">
    <w:name w:val="SmallSubtitle Znak"/>
    <w:basedOn w:val="Domylnaczcionkaakapitu"/>
    <w:link w:val="SmallSubtitle"/>
    <w:rsid w:val="00654CA5"/>
    <w:rPr>
      <w:rFonts w:ascii="Times New Roman" w:hAnsi="Times New Roman"/>
      <w:b/>
      <w:caps/>
      <w:lang w:val="en-US"/>
    </w:rPr>
  </w:style>
  <w:style w:type="character" w:styleId="Odwoanieprzypisudolnego">
    <w:name w:val="footnote reference"/>
    <w:semiHidden/>
    <w:rsid w:val="00654CA5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654CA5"/>
    <w:rPr>
      <w:sz w:val="20"/>
      <w:szCs w:val="20"/>
    </w:rPr>
  </w:style>
  <w:style w:type="character" w:customStyle="1" w:styleId="EndnoteTextChar">
    <w:name w:val="Endnote Text Char"/>
    <w:semiHidden/>
    <w:rsid w:val="00654CA5"/>
    <w:rPr>
      <w:sz w:val="20"/>
      <w:szCs w:val="20"/>
    </w:rPr>
  </w:style>
  <w:style w:type="table" w:styleId="Tabela-Prosty1">
    <w:name w:val="Table Simple 1"/>
    <w:basedOn w:val="Standardowy"/>
    <w:rsid w:val="00654C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65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urulis">
    <w:name w:val="Tabela Curulis"/>
    <w:basedOn w:val="Standardowy"/>
    <w:rsid w:val="00654CA5"/>
    <w:pPr>
      <w:spacing w:after="0" w:line="276" w:lineRule="auto"/>
      <w:jc w:val="right"/>
    </w:pPr>
    <w:rPr>
      <w:rFonts w:ascii="Arial" w:hAnsi="Arial"/>
      <w:sz w:val="18"/>
    </w:rPr>
    <w:tblPr>
      <w:tblInd w:w="0" w:type="dxa"/>
      <w:tblBorders>
        <w:bottom w:val="single" w:sz="4" w:space="0" w:color="DADBDC" w:themeColor="background2" w:themeTint="99"/>
        <w:insideH w:val="single" w:sz="4" w:space="0" w:color="DADBDC" w:themeColor="background2" w:themeTint="99"/>
        <w:insideV w:val="single" w:sz="4" w:space="0" w:color="DADBDC" w:themeColor="background2" w:themeTint="99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table" w:customStyle="1" w:styleId="TabelaCurulisLiczby">
    <w:name w:val="Tabela Curulis Liczby"/>
    <w:basedOn w:val="TabelaCurulis"/>
    <w:rsid w:val="00654CA5"/>
    <w:pPr>
      <w:spacing w:line="240" w:lineRule="auto"/>
    </w:pPr>
    <w:tblPr>
      <w:tblInd w:w="0" w:type="dxa"/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table" w:customStyle="1" w:styleId="TabelaCurulisEco">
    <w:name w:val="Tabela Curulis Eco"/>
    <w:basedOn w:val="TabelaCurulis"/>
    <w:rsid w:val="00654CA5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ADBDC" w:themeColor="background2" w:themeTint="99"/>
        <w:insideH w:val="single" w:sz="4" w:space="0" w:color="DADBDC" w:themeColor="background2" w:themeTint="99"/>
        <w:insideV w:val="single" w:sz="4" w:space="0" w:color="DADBDC" w:themeColor="background2" w:themeTint="99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000000" w:themeColor="text1"/>
        <w:sz w:val="18"/>
        <w:vertAlign w:val="baseline"/>
      </w:rPr>
      <w:tblPr/>
      <w:tcPr>
        <w:tcBorders>
          <w:top w:val="nil"/>
          <w:left w:val="nil"/>
          <w:bottom w:val="single" w:sz="4" w:space="0" w:color="8F9296" w:themeColor="background2" w:themeShade="BF"/>
          <w:right w:val="nil"/>
          <w:insideH w:val="single" w:sz="4" w:space="0" w:color="8F9296" w:themeColor="background2" w:themeShade="BF"/>
          <w:insideV w:val="single" w:sz="4" w:space="0" w:color="8F9296" w:themeColor="background2" w:themeShade="BF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13E0-7662-4831-80F0-92FFDEBA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2791</Words>
  <Characters>16750</Characters>
  <Application>Microsoft Office Word</Application>
  <DocSecurity>0</DocSecurity>
  <Lines>139</Lines>
  <Paragraphs>39</Paragraphs>
  <ScaleCrop>false</ScaleCrop>
  <Company/>
  <LinksUpToDate>false</LinksUpToDate>
  <CharactersWithSpaces>19502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Sawko</dc:creator>
  <cp:keywords>Curulis Sp. z o.o.</cp:keywords>
  <cp:lastModifiedBy>Użytkownik systemu Windows</cp:lastModifiedBy>
  <cp:revision>2</cp:revision>
  <cp:lastPrinted>2022-01-03T14:26:00Z</cp:lastPrinted>
  <dcterms:created xsi:type="dcterms:W3CDTF">2024-09-24T07:11:00Z</dcterms:created>
  <dcterms:modified xsi:type="dcterms:W3CDTF">2024-09-24T07:11:00Z</dcterms:modified>
</cp:coreProperties>
</file>